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866581"/>
    <w:rsid w:val="008F3E6F"/>
    <w:rsid w:val="009D28F7"/>
    <w:rsid w:val="00B4194D"/>
    <w:rsid w:val="00B61115"/>
    <w:rsid w:val="00BB5240"/>
    <w:rsid w:val="00C12E8D"/>
    <w:rsid w:val="00D23DB4"/>
    <w:rsid w:val="00E43A3F"/>
    <w:rsid w:val="00F1757B"/>
    <w:rsid w:val="00F5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2017-07-07T08:45:00Z</dcterms:modified>
</cp:coreProperties>
</file>