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</w:rPr>
        <w:t>Bremisches Bildungsurlaubsgesetz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(</w:t>
      </w:r>
      <w:proofErr w:type="spellStart"/>
      <w:r>
        <w:rPr>
          <w:rFonts w:ascii="Arial" w:hAnsi="Arial" w:cs="Arial"/>
          <w:b/>
          <w:bCs/>
          <w:color w:val="333333"/>
        </w:rPr>
        <w:t>BremBUG</w:t>
      </w:r>
      <w:proofErr w:type="spellEnd"/>
      <w:r>
        <w:rPr>
          <w:rFonts w:ascii="Arial" w:hAnsi="Arial" w:cs="Arial"/>
          <w:b/>
          <w:bCs/>
          <w:color w:val="333333"/>
        </w:rPr>
        <w:t>)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VOM 18. DEZEMBER 1974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871CA9">
        <w:rPr>
          <w:rFonts w:ascii="Arial" w:hAnsi="Arial" w:cs="Arial"/>
          <w:color w:val="333333"/>
        </w:rPr>
        <w:t xml:space="preserve">STAND </w:t>
      </w:r>
      <w:r>
        <w:rPr>
          <w:rFonts w:ascii="Arial" w:hAnsi="Arial" w:cs="Arial"/>
          <w:color w:val="333333"/>
        </w:rPr>
        <w:t>23. MÄRZ 2010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Der Senat verkündet das nachstehende von der Bürgerschaft (Landtag) beschlossene Gesetz: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 Grundsatz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Bildungsurlaub dient der politischen, beruflichen und allgemeinen Weiterbildung im Sinne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der §§ 1 und 2 des Gesetzes über die Weiterbildung im Lande Bremen und von § 13 Absatz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und 3 des Bremischen Kinder-, Jugend- und Familienförderungsgesetzes.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Durch die Gewährung von Bildungsurlaub nach Maßgabe dieses Gesetzes soll Arbeitnehmerinnen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und Arbeitnehmern unter Fortzahlung des Arbeitsentgeltes die Teilnahme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an anerkannten Bildungsveranstaltungen ermöglicht werden.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 Geltungsbereich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Dieses Gesetz gilt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für alle Arbeitnehmerinnen und Arbeitnehmer, deren Beschäftigungsverhältnisse ihren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Schwerpunkt in der Freien Hansestadt Bremen haben,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für Personen, die zu Beginn der Teilnahme an Bildungsveranstaltungen nach diesem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Gesetz nicht Arbeitnehmerinnen und Arbeitnehmer sind und die seit mindestens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sechs Monaten ihren Wohnsitz in der Freien Hansestadt Bremen haben, nach Maßgabe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 § 12.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Arbeitnehmerinnen und Arbeitnehmer im Sinne dieses Gesetzes sind auch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die zu ihrer Berufsausbildung Beschäftigten,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die in Heimarbeit Beschäftigten und die ihnen Gleichgestellten sowie sonstige Personen,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die wegen ihrer wirtschaftlichen Unselbstständigkeit als arbeitnehmerähnliche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Personen anzusehen sind,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Menschen, die in anerkannten Werkstätten für behinderte Menschen oder für diese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Einrichtungen in Heimarbeit tätig sind.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(3) Ein Beschäftigungsverhältnis hat seinen Schwerpunkt in der Freien Hansestadt Bremen,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wenn die oder der Beschäftigte in einem in der Freien Hansestadt Bremen ansässigen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Betrieb eingegliedert ist oder von einem solchen Betrieb angewiesen wird oder wenn die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oder der Beschäftigte in einer Dienststelle im Bereich der Freien Hansestadt Bremen tätig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ist. Die Beschäftigungsverhältnisse von Seeleuten haben im Sinne dieses Gesetzes ihren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Schwerpunkt in der Freien Hansestadt Bremen, wenn sich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der Sitz des Reeders, der </w:t>
      </w:r>
      <w:proofErr w:type="spellStart"/>
      <w:r>
        <w:rPr>
          <w:rFonts w:ascii="Arial" w:hAnsi="Arial" w:cs="Arial"/>
          <w:color w:val="000000"/>
        </w:rPr>
        <w:t>Partenreederei</w:t>
      </w:r>
      <w:proofErr w:type="spellEnd"/>
      <w:r>
        <w:rPr>
          <w:rFonts w:ascii="Arial" w:hAnsi="Arial" w:cs="Arial"/>
          <w:color w:val="000000"/>
        </w:rPr>
        <w:t>, des Korrespondentreeders oder des Vertragsreeders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im Lande Bremen befindet oder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der Heimathafen des Schiffes in der Freien Hansestadt Bremen befindet und das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Schiff die Bundesflagge führt.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(4) Dieses Gesetz gilt vorbehaltlich einer anderen Regelung nicht für Beamtinnen und Beamte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und Richterinnen und Richter.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 Anspruch auf Bildungsurlaub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Jede Arbeitnehmerin und jeder Arbeitnehmer hat innerhalb eines Zeitraums von zwei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aufeinanderfolgenden Kalenderjahren Anspruch auf Gewährung eines bezahlten </w:t>
      </w:r>
      <w:r w:rsidR="00741D9D">
        <w:rPr>
          <w:rFonts w:ascii="Arial" w:hAnsi="Arial" w:cs="Arial"/>
          <w:color w:val="000000"/>
        </w:rPr>
        <w:t xml:space="preserve"> B</w:t>
      </w:r>
      <w:r>
        <w:rPr>
          <w:rFonts w:ascii="Arial" w:hAnsi="Arial" w:cs="Arial"/>
          <w:color w:val="000000"/>
        </w:rPr>
        <w:t>ildungsurlaubs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von zehn Arbeitstagen.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Wird regelmäßig an mehr oder weniger als fünf Tagen in der Woche gearbeitet, so erhöht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oder verringert sich der Bildungsurlaub entsprechend. Bruchteile eines Tages werden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zugunsten der Arbeitnehmerin oder des Arbeitnehmers aufgerundet.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(3) Ein Anspruch auf Gewährung von Bildungsurlaub gegen einen späteren Arbeitgeber besteht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nicht, soweit die Arbeitnehmerin oder der Arbeitnehmer für den laufenden Zweijahreszeitraum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bereits von einem früheren Arbeitgeber Bildungsurlaub erhalten hat.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§ 4 Verbot der Benachteiligung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Arbeitnehmerinnen oder Arbeitnehmer dürfen wegen Inanspruchnahme des Bildungsurlaubs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nicht benachteiligt werden.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5 Verhältnis zu anderen Ansprüchen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Freistellungen zur Teilnahme an Bildungsveranstaltungen, die auf anderen Gesetzen,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tarifvertraglichen Vereinbarungen, betrieblichen Vereinbarungen und Einzelverträgen beruhen,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können auf den Freistellungsanspruch nach diesem Gesetz nur dann angerechnet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werden, wenn sie der Arbeitnehmerin oder dem Arbeitnehmer uneingeschränkt die Erreichung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der in § 1 dieses Gesetzes niedergelegten Ziele ermöglichen und wenn in den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betreffenden Vereinbarungen oder Verträgen die Anrechenbarkeit ausdrücklich vorgesehen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ist.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Der gesetzlich, tariflich oder arbeitstariflich festgelegte Erholungsurlaub oder sonstige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Freistellungen dürfen nicht auf die Zeit angerechnet werden, für die die Arbeitnehmerin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oder der Arbeitnehmer zur Teilnahme an anerkannten Bildungsveranstaltungen Bildungsurlaub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erhält.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6 Wartezeit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Eine Arbeitnehmerin oder ein Arbeitnehmer erwirbt den Freistellungsanspruch für den laufenden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Zweijahreszeitraum im Sinne von § 3 Abs. 1 erstmalig nach sechsmonatigem Bestehen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seines Beschäftigungsverhältnisses.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7 Zeitpunkt des Bildungsurlaubs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Der Zeitpunkt des Bildungsurlaubs richtet sich nach den Wünschen der Arbeitnehmerin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oder des Arbeitnehmers. Die Inanspruchnahme und der Zeitraum des Bildungsurlaubs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sind dem Arbeitgeber in der Regel vier Wochen vor Beginn mitzuteilen.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Der Bildungsurlaub zu dem von der Arbeitnehmerin oder dem Arbeitnehmer beantragten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Zeitpunkt kann nur abgelehnt werden, wenn zwingende betriebliche Belange oder Urlaubswünsche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anderer Arbeitnehmerinnen oder Arbeitnehmer, die unter sozialen Gesichtspunkten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den Vorrang verdienen, entgegenstehen. Der Arbeitgeber ist verpflichtet,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der Arbeitnehmerin oder dem Arbeitnehmer so frühzeitig wie möglich, in der Regel innerhalb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einer Woche, mitzuteilen, ob Bildungsurlaub gewährt wird.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(3) Lehrerinnen und Lehrer, Sozialpädagoginnen und Sozialpädagogen im schulischen Bereich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und sonstige Lehrkräfte sowie Professorinnen und Professoren und andere an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Hochschulen hauptberuflich selbstständig Lehrende können den Bildungsurlaub nur während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der unterrichtsfreien oder veranstaltungsfreien Zeit nehmen. Im Übrigen gelten die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Absätze 1 und 2 entsprechend.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(4) Der Bildungsurlaub ist während des laufenden Zweijahreszeitraums zu gewähren. Er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kann nicht übertragen werden.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(5) Erkrankt eine Arbeitnehmerin oder ein Arbeitnehmer während des Bildungsurlaubs, so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werden die durch ärztliches Zeugnis nachgewiesenen Tage der Arbeitsunfähigkeit auf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den Bildungsurlaub nicht angerechnet.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8 Gewährung des Bildungsurlaubs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Bildungsurlaub wird nur für anerkannte Bildungsveranstaltungen von mindestens einem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Tag Dauer gewährt.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Die Arbeitnehmerin oder der Arbeitnehmer ist verpflichtet, dem Arbeitgeber auf Verlangen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die Anmeldung zur Bildungsveranstaltung und die Teilnahme an der Bildungsveranstaltung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nachzuweisen. Die für den Nachweis erforderlichen Bescheinigungen sind der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Arbeitnehmerin oder dem Arbeitnehmer von dem Träger der Bildungsveranstaltung kostenlos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auszustellen. Der Arbeitgeber ist verpflichtet, der Arbeitnehmerin oder dem Arbeitnehmer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auf Verlangen bei Beendigung des Arbeitsverhältnisses eine Bescheinigung über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die im laufenden Zweijahreszeitraum gewährte Freistellung auszuhändigen.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(3) Während des Bildungsurlaubs darf die Arbeitnehmerin oder der Arbeitnehmer keine dem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Zwecke dieses Gesetzes zuwiderlaufende Erwerbstätigkeit ausüben.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§ 9 Fortzahlung des Arbeitsentgelts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Bildungsurlaub wird vom Arbeitgeber ohne Minderung des Arbeitsentgeltes gewährt. Das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fortzuzahlende</w:t>
      </w:r>
      <w:proofErr w:type="gramEnd"/>
      <w:r>
        <w:rPr>
          <w:rFonts w:ascii="Arial" w:hAnsi="Arial" w:cs="Arial"/>
          <w:color w:val="000000"/>
        </w:rPr>
        <w:t xml:space="preserve"> Entgelt für die Zeit des Bildungsurlaubs wird entsprechend den Bestimmungen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des Bundesurlaubsgesetzes berechnet. Günstigere vertragliche Regelungen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bleiben unberührt.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Die Arbeitnehmerin oder der Arbeitnehmer muss denjenigen Betrag an den Arbeitgeber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abführen, den sie oder er wegen ihrer oder seiner Teilnahme an der Bildungsveranstaltung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von dem Träger der Bildungseinrichtung oder von anderer Seite als Beihilfe oder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Zuschuss aufgrund anderer Bestimmungen erhalten hat, soweit dieser Betrag als Ersatz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für Einkommensverluste gezahlt wird.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10 Anerkennung von Bildungsveranstaltungen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Bildungsurlaub im Sinne dieses Gesetzes kann nur für Bildungsveranstaltungen beansprucht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werden, die von der zuständigen Behörde anerkannt sind.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Veranstaltungen von Einrichtungen, die nach § 4 des Gesetzes über die Weiterbildung im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Lande Bremen anerkannt sind, gelten als anerkannt, wenn sie den Anforderungen von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8 Absatz 1 entsprechen. Das gleiche gilt für Veranstaltungen von anerkannten Trägern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der Jugendbildung und der Familienbildung, die nach dem Bremischen Kinder-, Jugend</w:t>
      </w:r>
      <w:r w:rsidR="00741D9D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und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Familienförderungsgesetz durchgeführt werden.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(3) Veranstaltungen von Einrichtungen, die nicht nach dem Gesetz über die Weiterbildung im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Lande Bremen oder dem Bremischen Kinder-, Jugend- und Familienförderungsgesetz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anerkannt sind, werden anerkannt, wenn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sie ausschließlich der Weiterbildung im Sinne von § 1 dienen,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sie jedermann offenstehen und die Teilnahme an ihnen freigestellt ist,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die Einrichtungen bzw. ihre Träger Leistungen nachweisen, die nach Inhalt, Ort, Qualität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und Umfang eine Anerkennung rechtfertigen und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sie den Anforderungen von § 8 Abs. 1 entsprechen.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(4) Der Senat wird ermächtigt, durch Rechtsverordnung die zur Ausführung der Absätze 1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bis 3 erforderlichen Vorschriften, insbesondere Vorschriften über die Zuständigkeit und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über das Anerkennungsverfahren, zu erlassen. Dabei kann der Senat auch bestimmen,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daß</w:t>
      </w:r>
      <w:proofErr w:type="spellEnd"/>
      <w:r>
        <w:rPr>
          <w:rFonts w:ascii="Arial" w:hAnsi="Arial" w:cs="Arial"/>
          <w:color w:val="000000"/>
        </w:rPr>
        <w:t xml:space="preserve"> andere als die in Absatz 2 genannten Veranstaltungen als anerkannt gelten, z.B.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Veranstaltungen einer anderen Landesregierung, der Bundesregierung oder der </w:t>
      </w:r>
      <w:r w:rsidR="00741D9D">
        <w:rPr>
          <w:rFonts w:ascii="Arial" w:hAnsi="Arial" w:cs="Arial"/>
          <w:color w:val="000000"/>
        </w:rPr>
        <w:t xml:space="preserve"> B</w:t>
      </w:r>
      <w:r>
        <w:rPr>
          <w:rFonts w:ascii="Arial" w:hAnsi="Arial" w:cs="Arial"/>
          <w:color w:val="000000"/>
        </w:rPr>
        <w:t>undesagentur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für Arbeit.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11 Unabdingbarkeit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Von den vorstehenden Bestimmungen darf nicht zuungunsten der Arbeitnehmerin oder des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Arbeitnehmers abgewichen werden.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12 </w:t>
      </w:r>
      <w:proofErr w:type="spellStart"/>
      <w:r>
        <w:rPr>
          <w:rFonts w:ascii="Arial" w:hAnsi="Arial" w:cs="Arial"/>
          <w:b/>
          <w:bCs/>
          <w:color w:val="000000"/>
        </w:rPr>
        <w:t>Zuschußgewährung</w:t>
      </w:r>
      <w:proofErr w:type="spellEnd"/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Personen im Sinne von § 2 Abs. 1 kann in besonderen Härtefällen im Rahmen der im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Haushalt festzulegenden Höhe der Gesamtförderung nach diesem Gesetz auf Antrag ein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besonderer </w:t>
      </w:r>
      <w:proofErr w:type="spellStart"/>
      <w:r>
        <w:rPr>
          <w:rFonts w:ascii="Arial" w:hAnsi="Arial" w:cs="Arial"/>
          <w:color w:val="000000"/>
        </w:rPr>
        <w:t>Zuschuß</w:t>
      </w:r>
      <w:proofErr w:type="spellEnd"/>
      <w:r>
        <w:rPr>
          <w:rFonts w:ascii="Arial" w:hAnsi="Arial" w:cs="Arial"/>
          <w:color w:val="000000"/>
        </w:rPr>
        <w:t xml:space="preserve"> gewährt werden zur Deckung der Kosten, die durch die Teilnahme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 Bildungsveranstaltungen entstehen.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(2) Die Vorschriften der §§ 1, 3, 8 und 10 gelten entsprechend.</w:t>
      </w: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(3) Der Senat wird ermächtigt, durch Rechtsverordnung Vorschriften über die </w:t>
      </w:r>
      <w:proofErr w:type="spellStart"/>
      <w:r>
        <w:rPr>
          <w:rFonts w:ascii="Arial" w:hAnsi="Arial" w:cs="Arial"/>
          <w:color w:val="000000"/>
        </w:rPr>
        <w:t>Zuschußgewährung</w:t>
      </w:r>
      <w:proofErr w:type="spellEnd"/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zu erlassen. Zuschüsse können solche Personen erhalten, die unter Berücksichtigung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des Gesamteinkommens der Familie aus finanziellen Gründen an der Teilnahme</w:t>
      </w:r>
      <w:r w:rsidR="00741D9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von Weiterbildungsveranstaltungen gehindert sein würden.</w:t>
      </w:r>
    </w:p>
    <w:p w:rsidR="00741D9D" w:rsidRDefault="00741D9D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21011" w:rsidRDefault="00E21011" w:rsidP="00E2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13 Inkrafttreten</w:t>
      </w:r>
    </w:p>
    <w:p w:rsidR="002E542D" w:rsidRDefault="00E21011" w:rsidP="00E21011">
      <w:r>
        <w:rPr>
          <w:rFonts w:ascii="Arial" w:hAnsi="Arial" w:cs="Arial"/>
          <w:color w:val="000000"/>
        </w:rPr>
        <w:t>Dieses Gesetz tritt am 1. Januar 1975 in Kraft.</w:t>
      </w:r>
    </w:p>
    <w:sectPr w:rsidR="002E54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CA9" w:rsidRDefault="00871CA9" w:rsidP="00871CA9">
      <w:pPr>
        <w:spacing w:after="0" w:line="240" w:lineRule="auto"/>
      </w:pPr>
      <w:r>
        <w:separator/>
      </w:r>
    </w:p>
  </w:endnote>
  <w:endnote w:type="continuationSeparator" w:id="0">
    <w:p w:rsidR="00871CA9" w:rsidRDefault="00871CA9" w:rsidP="0087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CA9" w:rsidRDefault="00871CA9" w:rsidP="00871CA9">
      <w:pPr>
        <w:spacing w:after="0" w:line="240" w:lineRule="auto"/>
      </w:pPr>
      <w:r>
        <w:separator/>
      </w:r>
    </w:p>
  </w:footnote>
  <w:footnote w:type="continuationSeparator" w:id="0">
    <w:p w:rsidR="00871CA9" w:rsidRDefault="00871CA9" w:rsidP="00871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A9" w:rsidRDefault="00871CA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11"/>
    <w:rsid w:val="002E542D"/>
    <w:rsid w:val="00741D9D"/>
    <w:rsid w:val="00871CA9"/>
    <w:rsid w:val="00D21BED"/>
    <w:rsid w:val="00E2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1CA9"/>
  </w:style>
  <w:style w:type="paragraph" w:styleId="Fuzeile">
    <w:name w:val="footer"/>
    <w:basedOn w:val="Standard"/>
    <w:link w:val="FuzeileZchn"/>
    <w:uiPriority w:val="99"/>
    <w:unhideWhenUsed/>
    <w:rsid w:val="0087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1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1CA9"/>
  </w:style>
  <w:style w:type="paragraph" w:styleId="Fuzeile">
    <w:name w:val="footer"/>
    <w:basedOn w:val="Standard"/>
    <w:link w:val="FuzeileZchn"/>
    <w:uiPriority w:val="99"/>
    <w:unhideWhenUsed/>
    <w:rsid w:val="00871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1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1341</Words>
  <Characters>8450</Characters>
  <Application>Microsoft Office Word</Application>
  <DocSecurity>0</DocSecurity>
  <Lines>70</Lines>
  <Paragraphs>19</Paragraphs>
  <ScaleCrop>false</ScaleCrop>
  <Company/>
  <LinksUpToDate>false</LinksUpToDate>
  <CharactersWithSpaces>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2015-08-12T12:20:00Z</dcterms:created>
  <dcterms:modified xsi:type="dcterms:W3CDTF">2015-08-12T12:20:00Z</dcterms:modified>
</cp:coreProperties>
</file>