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93"/>
    <w:rsid w:val="00094A47"/>
    <w:rsid w:val="00131E3C"/>
    <w:rsid w:val="0024093A"/>
    <w:rsid w:val="00332599"/>
    <w:rsid w:val="004C4965"/>
    <w:rsid w:val="00797C7A"/>
    <w:rsid w:val="0089556B"/>
    <w:rsid w:val="008E126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2014-02-28T08:50:00Z</dcterms:modified>
</cp:coreProperties>
</file>